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U.S. Securities and Exchange Commission on March 5, 2025.</w:t>
      </w:r>
    </w:p>
    <w:p>
      <w:pPr>
        <w:spacing w:after="0" w:line="31" w:lineRule="exact"/>
        <w:rPr>
          <w:sz w:val="24"/>
          <w:szCs w:val="24"/>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Registration No. 333-__________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 THE SECURITIES ACT OF 1933</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Brag House Holdings,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7990</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87-4032622</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Classification Code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45 Park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Montclair, NJ 07042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(413) 398-2845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Lavell Juan Malloy, II</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45 Park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Montclair, NJ 07042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(413) 398-2845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3" w:lineRule="exact"/>
        <w:rPr>
          <w:sz w:val="24"/>
          <w:szCs w:val="24"/>
          <w:color w:val="auto"/>
        </w:rPr>
      </w:pPr>
    </w:p>
    <w:tbl>
      <w:tblPr>
        <w:tblLayout w:type="fixed"/>
        <w:tblInd w:w="142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54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with copies to:</w:t>
            </w:r>
          </w:p>
        </w:tc>
      </w:tr>
      <w:tr>
        <w:trPr>
          <w:trHeight w:val="410"/>
        </w:trPr>
        <w:tc>
          <w:tcPr>
            <w:tcW w:w="316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Joseph M. Lucosky, Esq.</w:t>
            </w:r>
          </w:p>
        </w:tc>
        <w:tc>
          <w:tcPr>
            <w:tcW w:w="5460" w:type="dxa"/>
            <w:vAlign w:val="bottom"/>
          </w:tcPr>
          <w:p>
            <w:pPr>
              <w:jc w:val="center"/>
              <w:ind w:left="2270"/>
              <w:spacing w:after="0"/>
              <w:rPr>
                <w:sz w:val="20"/>
                <w:szCs w:val="20"/>
                <w:color w:val="auto"/>
              </w:rPr>
            </w:pPr>
            <w:r>
              <w:rPr>
                <w:rFonts w:ascii="Times New Roman" w:cs="Times New Roman" w:eastAsia="Times New Roman" w:hAnsi="Times New Roman"/>
                <w:sz w:val="18"/>
                <w:szCs w:val="18"/>
                <w:b w:val="1"/>
                <w:bCs w:val="1"/>
                <w:color w:val="auto"/>
              </w:rPr>
              <w:t>Joel Mayersohn, Esq.</w:t>
            </w:r>
          </w:p>
        </w:tc>
      </w:tr>
      <w:tr>
        <w:trPr>
          <w:trHeight w:val="216"/>
        </w:trPr>
        <w:tc>
          <w:tcPr>
            <w:tcW w:w="316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Scott Linsky, Esq.</w:t>
            </w:r>
          </w:p>
        </w:tc>
        <w:tc>
          <w:tcPr>
            <w:tcW w:w="5460" w:type="dxa"/>
            <w:vAlign w:val="bottom"/>
          </w:tcPr>
          <w:p>
            <w:pPr>
              <w:jc w:val="center"/>
              <w:ind w:left="2270"/>
              <w:spacing w:after="0"/>
              <w:rPr>
                <w:sz w:val="20"/>
                <w:szCs w:val="20"/>
                <w:color w:val="auto"/>
              </w:rPr>
            </w:pPr>
            <w:r>
              <w:rPr>
                <w:rFonts w:ascii="Times New Roman" w:cs="Times New Roman" w:eastAsia="Times New Roman" w:hAnsi="Times New Roman"/>
                <w:sz w:val="18"/>
                <w:szCs w:val="18"/>
                <w:b w:val="1"/>
                <w:bCs w:val="1"/>
                <w:color w:val="auto"/>
                <w:w w:val="99"/>
              </w:rPr>
              <w:t>Dickinson Wright PLLC</w:t>
            </w:r>
          </w:p>
        </w:tc>
      </w:tr>
      <w:tr>
        <w:trPr>
          <w:trHeight w:val="216"/>
        </w:trPr>
        <w:tc>
          <w:tcPr>
            <w:tcW w:w="316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Lucosky Brookman LLP</w:t>
            </w:r>
          </w:p>
        </w:tc>
        <w:tc>
          <w:tcPr>
            <w:tcW w:w="5460" w:type="dxa"/>
            <w:vAlign w:val="bottom"/>
          </w:tcPr>
          <w:p>
            <w:pPr>
              <w:jc w:val="center"/>
              <w:ind w:left="2270"/>
              <w:spacing w:after="0"/>
              <w:rPr>
                <w:sz w:val="20"/>
                <w:szCs w:val="20"/>
                <w:color w:val="auto"/>
              </w:rPr>
            </w:pPr>
            <w:r>
              <w:rPr>
                <w:rFonts w:ascii="Times New Roman" w:cs="Times New Roman" w:eastAsia="Times New Roman" w:hAnsi="Times New Roman"/>
                <w:sz w:val="18"/>
                <w:szCs w:val="18"/>
                <w:b w:val="1"/>
                <w:bCs w:val="1"/>
                <w:color w:val="auto"/>
                <w:w w:val="99"/>
              </w:rPr>
              <w:t>350 East Las Olas Boulevard, Suite 1750</w:t>
            </w:r>
          </w:p>
        </w:tc>
      </w:tr>
      <w:tr>
        <w:trPr>
          <w:trHeight w:val="216"/>
        </w:trPr>
        <w:tc>
          <w:tcPr>
            <w:tcW w:w="316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101 Wood Avenue South, 5th Floor</w:t>
            </w:r>
          </w:p>
        </w:tc>
        <w:tc>
          <w:tcPr>
            <w:tcW w:w="5460" w:type="dxa"/>
            <w:vAlign w:val="bottom"/>
          </w:tcPr>
          <w:p>
            <w:pPr>
              <w:jc w:val="center"/>
              <w:ind w:left="2270"/>
              <w:spacing w:after="0"/>
              <w:rPr>
                <w:sz w:val="20"/>
                <w:szCs w:val="20"/>
                <w:color w:val="auto"/>
              </w:rPr>
            </w:pPr>
            <w:r>
              <w:rPr>
                <w:rFonts w:ascii="Times New Roman" w:cs="Times New Roman" w:eastAsia="Times New Roman" w:hAnsi="Times New Roman"/>
                <w:sz w:val="18"/>
                <w:szCs w:val="18"/>
                <w:b w:val="1"/>
                <w:bCs w:val="1"/>
                <w:color w:val="auto"/>
              </w:rPr>
              <w:t>Fort Lauderdale, FL 33301</w:t>
            </w:r>
          </w:p>
        </w:tc>
      </w:tr>
      <w:tr>
        <w:trPr>
          <w:trHeight w:val="216"/>
        </w:trPr>
        <w:tc>
          <w:tcPr>
            <w:tcW w:w="316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Woodbridge, NJ 08830</w:t>
            </w:r>
          </w:p>
        </w:tc>
        <w:tc>
          <w:tcPr>
            <w:tcW w:w="5460" w:type="dxa"/>
            <w:vAlign w:val="bottom"/>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9"/>
              </w:rPr>
              <w:t>(954) 991-5420</w:t>
            </w:r>
          </w:p>
        </w:tc>
      </w:tr>
      <w:tr>
        <w:trPr>
          <w:trHeight w:val="238"/>
        </w:trPr>
        <w:tc>
          <w:tcPr>
            <w:tcW w:w="316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(732) 395-4400</w:t>
            </w:r>
          </w:p>
        </w:tc>
        <w:tc>
          <w:tcPr>
            <w:tcW w:w="54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 As soon as practicable after the effective date of this registration statement.</w:t>
      </w:r>
    </w:p>
    <w:p>
      <w:pPr>
        <w:spacing w:after="0" w:line="22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333-280282</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5" w:right="339" w:bottom="1440" w:gutter="0" w:footer="0" w:header="0"/>
        </w:sectPr>
      </w:pPr>
    </w:p>
    <w:p>
      <w:pPr>
        <w:spacing w:after="0" w:line="135" w:lineRule="exact"/>
        <w:rPr>
          <w:sz w:val="24"/>
          <w:szCs w:val="24"/>
          <w:color w:val="auto"/>
        </w:rPr>
      </w:pPr>
    </w:p>
    <w:p>
      <w:pPr>
        <w:ind w:left="48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center"/>
        <w:ind w:right="220"/>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both"/>
        <w:ind w:right="600" w:hanging="1"/>
        <w:spacing w:after="0" w:line="260"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Emerging growth company </w:t>
      </w:r>
      <w:r>
        <w:rPr>
          <w:rFonts w:ascii="MS PGothic" w:cs="MS PGothic" w:eastAsia="MS PGothic" w:hAnsi="MS PGothic"/>
          <w:sz w:val="17"/>
          <w:szCs w:val="17"/>
          <w:color w:val="auto"/>
        </w:rPr>
        <w:t>☒</w:t>
      </w:r>
    </w:p>
    <w:p>
      <w:pPr>
        <w:spacing w:after="0" w:line="171" w:lineRule="exact"/>
        <w:rPr>
          <w:sz w:val="24"/>
          <w:szCs w:val="24"/>
          <w:color w:val="auto"/>
        </w:rPr>
      </w:pPr>
    </w:p>
    <w:p>
      <w:pPr>
        <w:sectPr>
          <w:pgSz w:w="11900" w:h="16838" w:orient="portrait"/>
          <w:cols w:equalWidth="0" w:num="4">
            <w:col w:w="2540" w:space="720"/>
            <w:col w:w="1620" w:space="720"/>
            <w:col w:w="2160" w:space="720"/>
            <w:col w:w="2760"/>
          </w:cols>
          <w:pgMar w:left="320" w:top="225" w:right="339" w:bottom="1440" w:gutter="0" w:footer="0" w:header="0"/>
          <w:type w:val="continuous"/>
        </w:sect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66" w:lineRule="exact"/>
        <w:rPr>
          <w:sz w:val="24"/>
          <w:szCs w:val="24"/>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Registration Statement shall become effective upon filing with the Securities and Exchange Commission in accordance with Rule 462(b)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Registration Statement on Form S-1 is being filed by Brag House Holdings, Inc., a Delaware corporation (the “Registrant”), pursuant to Rule 462(b) under the Securities Act of 1933, as amended, and General Instruction V to Form S-1. This Registration Statement relates to the Registrant’s Registration Statement on </w:t>
      </w:r>
      <w:hyperlink r:id="rId13">
        <w:r>
          <w:rPr>
            <w:rFonts w:ascii="Times New Roman" w:cs="Times New Roman" w:eastAsia="Times New Roman" w:hAnsi="Times New Roman"/>
            <w:sz w:val="18"/>
            <w:szCs w:val="18"/>
            <w:u w:val="single" w:color="auto"/>
            <w:color w:val="0000EE"/>
          </w:rPr>
          <w:t>Form S-1</w:t>
        </w:r>
      </w:hyperlink>
      <w:r>
        <w:rPr>
          <w:rFonts w:ascii="Times New Roman" w:cs="Times New Roman" w:eastAsia="Times New Roman" w:hAnsi="Times New Roman"/>
          <w:sz w:val="18"/>
          <w:szCs w:val="18"/>
          <w:color w:val="auto"/>
        </w:rPr>
        <w:t>, as amended (File No. 333-280282), initially filed by the Registrant on June 18, 2024 and declared effective by the Securities and Exchange Commission (the “SEC”) on February 14, 2025 (the “Base Registration Statement”).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Registration Statement covers the registration of an additional $500,000 worth of shares of the Registrant’s common stock, par value $0.0001 per share (the “Common Stock”), or an additional $575,000 worth of Common Stock if the representative of the underwriters exercises its over-allotment option in full.</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required opinions of counsel and related consents and accountant’s consent are attached hereto and filed herewith. Pursuant to Rule 462(b), the contents of the Base Registration Statement, including the exhibits thereto, are incorporated by reference into this Registration Statement.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list of exhibits following the signature page of this registration statement is incorporated by reference herein.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60" w:type="dxa"/>
            <w:vAlign w:val="bottom"/>
          </w:tcPr>
          <w:p>
            <w:pPr>
              <w:spacing w:after="0"/>
              <w:rPr>
                <w:sz w:val="18"/>
                <w:szCs w:val="18"/>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860" w:type="dxa"/>
            <w:vAlign w:val="bottom"/>
            <w:tcBorders>
              <w:top w:val="single" w:sz="8" w:color="auto"/>
            </w:tcBorders>
          </w:tcPr>
          <w:p>
            <w:pPr>
              <w:spacing w:after="0"/>
              <w:rPr>
                <w:sz w:val="18"/>
                <w:szCs w:val="18"/>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shd w:val="clear" w:color="auto" w:fill="CCEEFF"/>
          </w:tcPr>
          <w:p>
            <w:pPr>
              <w:spacing w:after="0"/>
              <w:rPr>
                <w:sz w:val="17"/>
                <w:szCs w:val="17"/>
                <w:color w:val="auto"/>
              </w:rPr>
            </w:pPr>
          </w:p>
        </w:tc>
        <w:tc>
          <w:tcPr>
            <w:tcW w:w="624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Opinion of Lucosky Brookman LLP as to the legality of the securities being registered</w:t>
            </w:r>
          </w:p>
        </w:tc>
        <w:tc>
          <w:tcPr>
            <w:tcW w:w="3860" w:type="dxa"/>
            <w:vAlign w:val="bottom"/>
            <w:tcBorders>
              <w:bottom w:val="single" w:sz="8" w:color="CCEEFF"/>
            </w:tcBorders>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5"/>
                <w:szCs w:val="15"/>
                <w:color w:val="auto"/>
              </w:rPr>
            </w:pPr>
          </w:p>
        </w:tc>
        <w:tc>
          <w:tcPr>
            <w:tcW w:w="101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Consent of Marcum LLP, Independent Registered Public Accounting Firm</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32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20" w:type="dxa"/>
            <w:vAlign w:val="bottom"/>
            <w:tcBorders>
              <w:bottom w:val="single" w:sz="8" w:color="CCEEFF"/>
            </w:tcBorders>
            <w:shd w:val="clear" w:color="auto" w:fill="CCEEFF"/>
          </w:tcPr>
          <w:p>
            <w:pPr>
              <w:spacing w:after="0"/>
              <w:rPr>
                <w:sz w:val="17"/>
                <w:szCs w:val="17"/>
                <w:color w:val="auto"/>
              </w:rPr>
            </w:pPr>
          </w:p>
        </w:tc>
        <w:tc>
          <w:tcPr>
            <w:tcW w:w="444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Consent of Lucosky Brookman LLP (included in Exhibit 5.1)</w:t>
            </w:r>
          </w:p>
        </w:tc>
        <w:tc>
          <w:tcPr>
            <w:tcW w:w="5660" w:type="dxa"/>
            <w:vAlign w:val="bottom"/>
            <w:tcBorders>
              <w:bottom w:val="single" w:sz="8" w:color="CCEEFF"/>
            </w:tcBorders>
            <w:gridSpan w:val="3"/>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5"/>
                <w:szCs w:val="15"/>
                <w:color w:val="auto"/>
              </w:rPr>
            </w:pPr>
          </w:p>
        </w:tc>
        <w:tc>
          <w:tcPr>
            <w:tcW w:w="1180" w:type="dxa"/>
            <w:vAlign w:val="bottom"/>
            <w:tcBorders>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7"/>
              </w:rPr>
              <w:t>Filing Fee Table</w:t>
            </w:r>
          </w:p>
        </w:tc>
        <w:tc>
          <w:tcPr>
            <w:tcW w:w="8920" w:type="dxa"/>
            <w:vAlign w:val="bottom"/>
            <w:gridSpan w:val="4"/>
          </w:tcPr>
          <w:p>
            <w:pPr>
              <w:spacing w:after="0"/>
              <w:rPr>
                <w:sz w:val="15"/>
                <w:szCs w:val="15"/>
                <w:color w:val="auto"/>
              </w:rPr>
            </w:pPr>
          </w:p>
        </w:tc>
      </w:tr>
    </w:tbl>
    <w:p>
      <w:pPr>
        <w:spacing w:after="0" w:line="225"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Brooklyn, State of New York on March 5, 2025.</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2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Lavell Juan Malloy,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Lavell Juan Malloy, II</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below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00" w:type="dxa"/>
            <w:vAlign w:val="bottom"/>
          </w:tcPr>
          <w:p>
            <w:pPr>
              <w:spacing w:after="0"/>
              <w:rPr>
                <w:sz w:val="21"/>
                <w:szCs w:val="21"/>
                <w:color w:val="auto"/>
              </w:rPr>
            </w:pPr>
          </w:p>
        </w:tc>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1"/>
                <w:szCs w:val="21"/>
                <w:color w:val="auto"/>
              </w:rPr>
            </w:pPr>
          </w:p>
        </w:tc>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439"/>
        </w:trPr>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Lavell Juan Malloy, II</w:t>
            </w:r>
          </w:p>
        </w:tc>
        <w:tc>
          <w:tcPr>
            <w:tcW w:w="10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 and Chairman</w:t>
            </w: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March 5, 2025</w:t>
            </w: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Lavell Juan Malloy, II</w:t>
            </w:r>
          </w:p>
        </w:tc>
        <w:tc>
          <w:tcPr>
            <w:tcW w:w="100" w:type="dxa"/>
            <w:vAlign w:val="bottom"/>
          </w:tcPr>
          <w:p>
            <w:pPr>
              <w:spacing w:after="0"/>
              <w:rPr>
                <w:sz w:val="20"/>
                <w:szCs w:val="20"/>
                <w:color w:val="auto"/>
              </w:rPr>
            </w:pPr>
          </w:p>
        </w:tc>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5"/>
        </w:trPr>
        <w:tc>
          <w:tcPr>
            <w:tcW w:w="32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/s/ Daniel Leibovich</w:t>
            </w:r>
          </w:p>
        </w:tc>
        <w:tc>
          <w:tcPr>
            <w:tcW w:w="10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Operating Officer,</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2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Chief Financial Officer and Director</w:t>
            </w: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March 5, 2025</w:t>
            </w: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Daniel Leibovich</w:t>
            </w:r>
          </w:p>
        </w:tc>
        <w:tc>
          <w:tcPr>
            <w:tcW w:w="10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7"/>
        </w:trPr>
        <w:tc>
          <w:tcPr>
            <w:tcW w:w="326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gridSpan w:val="2"/>
          </w:tcPr>
          <w:p>
            <w:pPr>
              <w:jc w:val="right"/>
              <w:ind w:right="347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543050" cy="3429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543050" cy="34290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156845</wp:posOffset>
            </wp:positionV>
            <wp:extent cx="1200150" cy="17659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200150" cy="176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Brag House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 Park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Montclair, NJ 07042</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Registration Statement on Form S-1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acted as counsel to you, Brag House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 Delaware corporation, in connection with the public offering contemplated by the registration statement on Form S-1 initially filed by the Company on June 18, 2024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xml:space="preserve">”), and declared effective by the Commission on February 14, 2025 (the “Base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a Registration Statement on Form S-1 (the “</w:t>
      </w:r>
      <w:r>
        <w:rPr>
          <w:rFonts w:ascii="Times New Roman" w:cs="Times New Roman" w:eastAsia="Times New Roman" w:hAnsi="Times New Roman"/>
          <w:sz w:val="18"/>
          <w:szCs w:val="18"/>
          <w:u w:val="single" w:color="auto"/>
          <w:color w:val="auto"/>
        </w:rPr>
        <w:t>New Registration Statement</w:t>
      </w:r>
      <w:r>
        <w:rPr>
          <w:rFonts w:ascii="Times New Roman" w:cs="Times New Roman" w:eastAsia="Times New Roman" w:hAnsi="Times New Roman"/>
          <w:sz w:val="18"/>
          <w:szCs w:val="18"/>
          <w:color w:val="auto"/>
        </w:rPr>
        <w:t>”), effective automatically upon filing for an offering of (i) up to 125,000 additional shares of the Company’s common stock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$0.0001 par value per share (the “Company Shares”); (ii) up to 18,750 additional shares of Common Stock, purchased pursuant to over allotments, if any (the “</w:t>
      </w:r>
      <w:r>
        <w:rPr>
          <w:rFonts w:ascii="Times New Roman" w:cs="Times New Roman" w:eastAsia="Times New Roman" w:hAnsi="Times New Roman"/>
          <w:sz w:val="18"/>
          <w:szCs w:val="18"/>
          <w:u w:val="single" w:color="auto"/>
          <w:color w:val="auto"/>
        </w:rPr>
        <w:t>Over Allotment Shares</w:t>
      </w:r>
      <w:r>
        <w:rPr>
          <w:rFonts w:ascii="Times New Roman" w:cs="Times New Roman" w:eastAsia="Times New Roman" w:hAnsi="Times New Roman"/>
          <w:sz w:val="18"/>
          <w:szCs w:val="18"/>
          <w:color w:val="auto"/>
        </w:rPr>
        <w:t>”); (iii) up to 3,750 additional warrants to purchase 3,750 shares of Common stock that will be issued to the representatives of the underwriters (the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and (iv) and up to 3,750 additional shares of Common Stock underlying the Representatives’ Warrants (the “</w:t>
      </w:r>
      <w:r>
        <w:rPr>
          <w:rFonts w:ascii="Times New Roman" w:cs="Times New Roman" w:eastAsia="Times New Roman" w:hAnsi="Times New Roman"/>
          <w:sz w:val="18"/>
          <w:szCs w:val="18"/>
          <w:u w:val="single" w:color="auto"/>
          <w:color w:val="auto"/>
        </w:rPr>
        <w:t>Representatives’ Warrant Shares</w:t>
      </w:r>
      <w:r>
        <w:rPr>
          <w:rFonts w:ascii="Times New Roman" w:cs="Times New Roman" w:eastAsia="Times New Roman" w:hAnsi="Times New Roman"/>
          <w:sz w:val="18"/>
          <w:szCs w:val="18"/>
          <w:color w:val="auto"/>
        </w:rPr>
        <w:t>”) that may be issued upon exercise of the Representatives’ Warrants.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opinion is being furnished in accordance with the requirements of Item 601(b)(5) of Regulation S-K under the Securities Act.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this opinion, we have examined the originals or copies certified or otherwise identified to our satisfaction of the following: (a) the certificate of incorporation of the Company, as amended to date; (b) the bylaws of the Company, as amended to date, and (c) the Registration Statement and all exhibits thereto. In addition to the foregoing, we also have relied as to matters of fact upon the representations made by the Company and its representatives and we have assumed the genuineness of all signatures, the authenticity of all documents submitted to us as originals, and the conformity to original documents of all documents submitted to us certified or photostatic copies.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5797550</wp:posOffset>
            </wp:positionH>
            <wp:positionV relativeFrom="page">
              <wp:posOffset>586105</wp:posOffset>
            </wp:positionV>
            <wp:extent cx="1543050"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543050" cy="342900"/>
                    </a:xfrm>
                    <a:prstGeom prst="rect">
                      <a:avLst/>
                    </a:prstGeom>
                    <a:noFill/>
                  </pic:spPr>
                </pic:pic>
              </a:graphicData>
            </a:graphic>
          </wp:anchor>
        </w:drawing>
      </w:r>
    </w:p>
    <w:p>
      <w:pPr>
        <w:spacing w:after="0" w:line="282" w:lineRule="auto"/>
        <w:rPr>
          <w:sz w:val="20"/>
          <w:szCs w:val="20"/>
          <w:color w:val="auto"/>
        </w:rPr>
      </w:pPr>
      <w:r>
        <w:rPr>
          <w:rFonts w:ascii="Times New Roman" w:cs="Times New Roman" w:eastAsia="Times New Roman" w:hAnsi="Times New Roman"/>
          <w:sz w:val="18"/>
          <w:szCs w:val="18"/>
          <w:color w:val="auto"/>
        </w:rPr>
        <w:t>Based upon the foregoing and in reliance thereon, and subject to the qualifications, limitations, exceptions and assumptions set forth herein, we are of the opinion that:</w:t>
      </w:r>
    </w:p>
    <w:p>
      <w:pPr>
        <w:spacing w:after="0" w:line="162" w:lineRule="exact"/>
        <w:rPr>
          <w:sz w:val="20"/>
          <w:szCs w:val="20"/>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Shares and the Over-Allotment Shares have been duly authorized by all necessary corporate action of the Company and, when issued, delivered and paid for as contemplated in the Registration Statement and in accordance with the terms of the Underwriting Agreement (as defined in the Registration Statement), the shares of Common Stock will be validly issued, fully paid and non-assessable;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Representatives’ Warrants have been duly authorized by the Company and, when executed by the Company and issued and delivered to the purchaser thereof as contemplated by the Registration Statement and in accordance with terms of the Underwriting Agreement, such Representatives’ Warrants will constitute the valid and legally binding obligations of the Company, enforceable against the Company in accordance with their terms; and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Representatives’ Warrant Shares have been duly authorized and, when issued and delivered by the Company upon exercise of the Representatives’ Warrants against payment therefor as set forth in the Registration Statement, the Underwriting Agreement and the Representatives’ Warrants, will be validly issued, fully paid and non-assessable; and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opining herein as to the General Corporation Law of the State of Delaware, and we express no opinion with respect to any other laws. This opinion is limited to the laws in effect as of the date the Registration Statement is declared effective by the Commission and is provided exclusively in connection with the public offering contemplated by the Registration Statement.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opinion letter speaks only as of the date hereof and we assume no obligation to update or supplement this opinion letter if any applicable laws change after the date of this opinion letter or if we become aware after the date of this opinion letter of any facts, whether existing before or arising after the date hereof, that might change the opinions expressed above.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opinion letter is furnished in connection with the filing of the Registration Statement and may not be relied upon for any other purpose without our prior written consent in each instance. Further, no portion of this letter may be quoted, circulated or referred to in any other document for any other purpose without our prior written consent.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with the Commission as an exhibit to the Registration Statement and to the use of our name as it appears in the prospectus included in the Registration Statement. In giving such consent, we do not thereby admit that we come within the category of persons whose consent is required under Section 7 of the Securities Act or the rules and regulations of the Commission promulgated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Lucosky Brookman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42862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4286250"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Lucosky Brookman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156845</wp:posOffset>
            </wp:positionV>
            <wp:extent cx="1714500" cy="514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71450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of Brag House Holdings, Inc. on Form S-1 MEF (File No. 333-280282) of our report dated June 17, 2024, except for Note 2 (reverse stock split), as to which the date is December 2, 2024, which includes an explanatory paragraph as to the Company’s ability to continue as a going concern, with respect to our audits of the consolidated financial statements of Brag House Holdings, Inc. as of December 31, 2023 and 2022, and for the years then ended, appearing in the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Haven, 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Marcum llp </w:t>
      </w:r>
      <w:r>
        <w:rPr>
          <w:rFonts w:ascii="Times New Roman" w:cs="Times New Roman" w:eastAsia="Times New Roman" w:hAnsi="Times New Roman"/>
          <w:sz w:val="18"/>
          <w:szCs w:val="18"/>
          <w:color w:val="auto"/>
        </w:rPr>
        <w:t>/ 555 Long Wharf Drive / 8th Floor / New Haven, CT 06511 /</w:t>
      </w:r>
      <w:r>
        <w:rPr>
          <w:rFonts w:ascii="Times New Roman" w:cs="Times New Roman" w:eastAsia="Times New Roman" w:hAnsi="Times New Roman"/>
          <w:sz w:val="18"/>
          <w:szCs w:val="18"/>
          <w:b w:val="1"/>
          <w:bCs w:val="1"/>
          <w:color w:val="auto"/>
        </w:rPr>
        <w:t xml:space="preserve"> Phone </w:t>
      </w:r>
      <w:r>
        <w:rPr>
          <w:rFonts w:ascii="Times New Roman" w:cs="Times New Roman" w:eastAsia="Times New Roman" w:hAnsi="Times New Roman"/>
          <w:sz w:val="18"/>
          <w:szCs w:val="18"/>
          <w:color w:val="auto"/>
        </w:rPr>
        <w:t>203.781.9600 /</w:t>
      </w:r>
      <w:r>
        <w:rPr>
          <w:rFonts w:ascii="Times New Roman" w:cs="Times New Roman" w:eastAsia="Times New Roman" w:hAnsi="Times New Roman"/>
          <w:sz w:val="18"/>
          <w:szCs w:val="18"/>
          <w:b w:val="1"/>
          <w:bCs w:val="1"/>
          <w:color w:val="auto"/>
        </w:rPr>
        <w:t xml:space="preserve"> marcumllp.com</w:t>
      </w:r>
    </w:p>
    <w:p>
      <w:pPr>
        <w:sectPr>
          <w:pgSz w:w="11900" w:h="16838" w:orient="portrait"/>
          <w:cols w:equalWidth="0" w:num="1">
            <w:col w:w="11240"/>
          </w:cols>
          <w:pgMar w:left="320" w:top="117" w:right="339" w:bottom="1440" w:gutter="0" w:footer="0" w:header="0"/>
        </w:sectPr>
      </w:pPr>
    </w:p>
    <w:bookmarkStart w:id="7" w:name="page8"/>
    <w:bookmarkEnd w:id="7"/>
    <w:p>
      <w:pPr>
        <w:ind w:left="1036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 Form S-1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Calculation</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00" w:type="dxa"/>
            <w:vAlign w:val="bottom"/>
          </w:tcPr>
          <w:p>
            <w:pPr>
              <w:spacing w:after="0"/>
              <w:rPr>
                <w:sz w:val="18"/>
                <w:szCs w:val="18"/>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or Carry</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00" w:type="dxa"/>
            <w:vAlign w:val="bottom"/>
          </w:tcPr>
          <w:p>
            <w:pPr>
              <w:spacing w:after="0"/>
              <w:rPr>
                <w:sz w:val="18"/>
                <w:szCs w:val="18"/>
                <w:color w:val="auto"/>
              </w:rPr>
            </w:pP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Amount of</w:t>
            </w:r>
          </w:p>
        </w:tc>
      </w:tr>
      <w:tr>
        <w:trPr>
          <w:trHeight w:val="216"/>
        </w:trPr>
        <w:tc>
          <w:tcPr>
            <w:tcW w:w="980" w:type="dxa"/>
            <w:vAlign w:val="bottom"/>
          </w:tcPr>
          <w:p>
            <w:pPr>
              <w:spacing w:after="0"/>
              <w:rPr>
                <w:sz w:val="18"/>
                <w:szCs w:val="18"/>
                <w:color w:val="auto"/>
              </w:rPr>
            </w:pP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2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 w:type="dxa"/>
            <w:vAlign w:val="bottom"/>
          </w:tcPr>
          <w:p>
            <w:pPr>
              <w:spacing w:after="0"/>
              <w:rPr>
                <w:sz w:val="18"/>
                <w:szCs w:val="18"/>
                <w:color w:val="auto"/>
              </w:rPr>
            </w:pP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Registration</w:t>
            </w:r>
          </w:p>
        </w:tc>
      </w:tr>
      <w:tr>
        <w:trPr>
          <w:trHeight w:val="245"/>
        </w:trPr>
        <w:tc>
          <w:tcPr>
            <w:tcW w:w="980" w:type="dxa"/>
            <w:vAlign w:val="bottom"/>
          </w:tcPr>
          <w:p>
            <w:pPr>
              <w:spacing w:after="0"/>
              <w:rPr>
                <w:sz w:val="21"/>
                <w:szCs w:val="21"/>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28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Security Class Title</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1"/>
                <w:szCs w:val="21"/>
                <w:color w:val="auto"/>
              </w:rPr>
            </w:pP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Price(1)(2)</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240" w:type="dxa"/>
            <w:vAlign w:val="bottom"/>
          </w:tcPr>
          <w:p>
            <w:pPr>
              <w:spacing w:after="0"/>
              <w:rPr>
                <w:sz w:val="21"/>
                <w:szCs w:val="21"/>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Fee</w:t>
            </w:r>
          </w:p>
        </w:tc>
      </w:tr>
      <w:tr>
        <w:trPr>
          <w:trHeight w:val="184"/>
        </w:trPr>
        <w:tc>
          <w:tcPr>
            <w:tcW w:w="98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Fees to be</w:t>
            </w:r>
          </w:p>
        </w:tc>
        <w:tc>
          <w:tcPr>
            <w:tcW w:w="900" w:type="dxa"/>
            <w:vAlign w:val="bottom"/>
            <w:tcBorders>
              <w:top w:val="single" w:sz="8" w:color="auto"/>
            </w:tcBorders>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Equity</w:t>
            </w:r>
          </w:p>
        </w:tc>
        <w:tc>
          <w:tcPr>
            <w:tcW w:w="80" w:type="dxa"/>
            <w:vAlign w:val="bottom"/>
            <w:tcBorders>
              <w:top w:val="single" w:sz="8" w:color="CCEEFF"/>
            </w:tcBorders>
            <w:shd w:val="clear" w:color="auto" w:fill="CCEEFF"/>
          </w:tcPr>
          <w:p>
            <w:pPr>
              <w:spacing w:after="0"/>
              <w:rPr>
                <w:sz w:val="16"/>
                <w:szCs w:val="16"/>
                <w:color w:val="auto"/>
              </w:rPr>
            </w:pPr>
          </w:p>
        </w:tc>
        <w:tc>
          <w:tcPr>
            <w:tcW w:w="2820" w:type="dxa"/>
            <w:vAlign w:val="bottom"/>
            <w:tcBorders>
              <w:top w:val="single" w:sz="8" w:color="auto"/>
            </w:tcBorders>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Common Stock, par value $0.0001 per</w:t>
            </w:r>
          </w:p>
        </w:tc>
        <w:tc>
          <w:tcPr>
            <w:tcW w:w="6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ind w:right="270"/>
              <w:spacing w:after="0" w:line="184"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48"/>
        </w:trPr>
        <w:tc>
          <w:tcPr>
            <w:tcW w:w="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paid</w:t>
            </w: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share</w:t>
            </w: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575,000</w:t>
            </w:r>
          </w:p>
        </w:tc>
        <w:tc>
          <w:tcPr>
            <w:tcW w:w="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0.00015310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88.03</w:t>
            </w:r>
          </w:p>
        </w:tc>
      </w:tr>
      <w:tr>
        <w:trPr>
          <w:trHeight w:val="198"/>
        </w:trPr>
        <w:tc>
          <w:tcPr>
            <w:tcW w:w="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Fees to be</w:t>
            </w:r>
          </w:p>
        </w:tc>
        <w:tc>
          <w:tcPr>
            <w:tcW w:w="98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288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8"/>
              </w:rPr>
              <w:t>Underwriter Warrants</w:t>
            </w:r>
          </w:p>
        </w:tc>
        <w:tc>
          <w:tcPr>
            <w:tcW w:w="980" w:type="dxa"/>
            <w:vAlign w:val="bottom"/>
          </w:tcPr>
          <w:p>
            <w:pPr>
              <w:jc w:val="right"/>
              <w:ind w:right="270"/>
              <w:spacing w:after="0" w:line="198"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paid</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0.00015310</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98"/>
        </w:trPr>
        <w:tc>
          <w:tcPr>
            <w:tcW w:w="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Fees to be</w:t>
            </w:r>
          </w:p>
        </w:tc>
        <w:tc>
          <w:tcPr>
            <w:tcW w:w="980" w:type="dxa"/>
            <w:vAlign w:val="bottom"/>
            <w:gridSpan w:val="2"/>
            <w:shd w:val="clear" w:color="auto" w:fill="CCEEFF"/>
          </w:tcPr>
          <w:p>
            <w:pPr>
              <w:jc w:val="center"/>
              <w:ind w:right="60"/>
              <w:spacing w:after="0" w:line="198" w:lineRule="exact"/>
              <w:rPr>
                <w:sz w:val="20"/>
                <w:szCs w:val="20"/>
                <w:color w:val="auto"/>
              </w:rPr>
            </w:pPr>
            <w:r>
              <w:rPr>
                <w:rFonts w:ascii="Times New Roman" w:cs="Times New Roman" w:eastAsia="Times New Roman" w:hAnsi="Times New Roman"/>
                <w:sz w:val="18"/>
                <w:szCs w:val="18"/>
                <w:color w:val="auto"/>
                <w:w w:val="99"/>
              </w:rPr>
              <w:t>Equity</w:t>
            </w:r>
          </w:p>
        </w:tc>
        <w:tc>
          <w:tcPr>
            <w:tcW w:w="2880" w:type="dxa"/>
            <w:vAlign w:val="bottom"/>
            <w:gridSpan w:val="2"/>
            <w:shd w:val="clear" w:color="auto" w:fill="CCEEFF"/>
          </w:tcPr>
          <w:p>
            <w:pPr>
              <w:jc w:val="center"/>
              <w:ind w:right="60"/>
              <w:spacing w:after="0" w:line="198" w:lineRule="exact"/>
              <w:rPr>
                <w:sz w:val="20"/>
                <w:szCs w:val="20"/>
                <w:color w:val="auto"/>
              </w:rPr>
            </w:pPr>
            <w:r>
              <w:rPr>
                <w:rFonts w:ascii="Times New Roman" w:cs="Times New Roman" w:eastAsia="Times New Roman" w:hAnsi="Times New Roman"/>
                <w:sz w:val="18"/>
                <w:szCs w:val="18"/>
                <w:color w:val="auto"/>
                <w:w w:val="99"/>
              </w:rPr>
              <w:t>Common Stock, par value $0.0001 per</w:t>
            </w:r>
          </w:p>
        </w:tc>
        <w:tc>
          <w:tcPr>
            <w:tcW w:w="980" w:type="dxa"/>
            <w:vAlign w:val="bottom"/>
            <w:shd w:val="clear" w:color="auto" w:fill="CCEEFF"/>
          </w:tcPr>
          <w:p>
            <w:pPr>
              <w:jc w:val="right"/>
              <w:ind w:right="270"/>
              <w:spacing w:after="0" w:line="198"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0"/>
        </w:trPr>
        <w:tc>
          <w:tcPr>
            <w:tcW w:w="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paid</w:t>
            </w: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share, issuable upon exercise of the</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305"/>
        </w:trPr>
        <w:tc>
          <w:tcPr>
            <w:tcW w:w="9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80" w:type="dxa"/>
            <w:vAlign w:val="bottom"/>
            <w:gridSpan w:val="2"/>
            <w:shd w:val="clear" w:color="auto" w:fill="CCEEFF"/>
          </w:tcPr>
          <w:p>
            <w:pPr>
              <w:jc w:val="center"/>
              <w:ind w:right="60"/>
              <w:spacing w:after="0" w:line="284" w:lineRule="exact"/>
              <w:rPr>
                <w:sz w:val="20"/>
                <w:szCs w:val="20"/>
                <w:color w:val="auto"/>
              </w:rPr>
            </w:pPr>
            <w:r>
              <w:rPr>
                <w:rFonts w:ascii="Times New Roman" w:cs="Times New Roman" w:eastAsia="Times New Roman" w:hAnsi="Times New Roman"/>
                <w:sz w:val="18"/>
                <w:szCs w:val="18"/>
                <w:color w:val="auto"/>
                <w:w w:val="96"/>
              </w:rPr>
              <w:t>Underwriter Warrants</w:t>
            </w:r>
            <w:r>
              <w:rPr>
                <w:rFonts w:ascii="Times New Roman" w:cs="Times New Roman" w:eastAsia="Times New Roman" w:hAnsi="Times New Roman"/>
                <w:sz w:val="29"/>
                <w:szCs w:val="29"/>
                <w:color w:val="auto"/>
                <w:w w:val="96"/>
                <w:vertAlign w:val="superscript"/>
              </w:rPr>
              <w:t>(3)</w:t>
            </w: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15,000</w:t>
            </w:r>
          </w:p>
        </w:tc>
        <w:tc>
          <w:tcPr>
            <w:tcW w:w="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0.00015310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w:t>
            </w:r>
          </w:p>
        </w:tc>
      </w:tr>
      <w:tr>
        <w:trPr>
          <w:trHeight w:val="223"/>
        </w:trPr>
        <w:tc>
          <w:tcPr>
            <w:tcW w:w="980" w:type="dxa"/>
            <w:vAlign w:val="bottom"/>
            <w:tcBorders>
              <w:top w:val="single" w:sz="8" w:color="CCEEFF"/>
              <w:bottom w:val="single" w:sz="8" w:color="CCEEFF"/>
            </w:tcBorders>
          </w:tcPr>
          <w:p>
            <w:pPr>
              <w:spacing w:after="0"/>
              <w:rPr>
                <w:sz w:val="19"/>
                <w:szCs w:val="19"/>
                <w:color w:val="auto"/>
              </w:rPr>
            </w:pPr>
          </w:p>
        </w:tc>
        <w:tc>
          <w:tcPr>
            <w:tcW w:w="900" w:type="dxa"/>
            <w:vAlign w:val="bottom"/>
            <w:tcBorders>
              <w:top w:val="single" w:sz="8" w:color="CCEEFF"/>
              <w:bottom w:val="single" w:sz="8" w:color="CCEEFF"/>
            </w:tcBorders>
          </w:tcPr>
          <w:p>
            <w:pPr>
              <w:spacing w:after="0"/>
              <w:rPr>
                <w:sz w:val="19"/>
                <w:szCs w:val="19"/>
                <w:color w:val="auto"/>
              </w:rPr>
            </w:pPr>
          </w:p>
        </w:tc>
        <w:tc>
          <w:tcPr>
            <w:tcW w:w="80" w:type="dxa"/>
            <w:vAlign w:val="bottom"/>
            <w:tcBorders>
              <w:top w:val="single" w:sz="8" w:color="CCEEFF"/>
              <w:bottom w:val="single" w:sz="8" w:color="CCEEFF"/>
            </w:tcBorders>
          </w:tcPr>
          <w:p>
            <w:pPr>
              <w:spacing w:after="0"/>
              <w:rPr>
                <w:sz w:val="19"/>
                <w:szCs w:val="19"/>
                <w:color w:val="auto"/>
              </w:rPr>
            </w:pPr>
          </w:p>
        </w:tc>
        <w:tc>
          <w:tcPr>
            <w:tcW w:w="2820" w:type="dxa"/>
            <w:vAlign w:val="bottom"/>
            <w:tcBorders>
              <w:top w:val="single" w:sz="8" w:color="CCEEFF"/>
              <w:bottom w:val="single" w:sz="8" w:color="CCEEFF"/>
            </w:tcBorders>
          </w:tcPr>
          <w:p>
            <w:pPr>
              <w:spacing w:after="0"/>
              <w:rPr>
                <w:sz w:val="19"/>
                <w:szCs w:val="19"/>
                <w:color w:val="auto"/>
              </w:rPr>
            </w:pPr>
          </w:p>
        </w:tc>
        <w:tc>
          <w:tcPr>
            <w:tcW w:w="60" w:type="dxa"/>
            <w:vAlign w:val="bottom"/>
            <w:tcBorders>
              <w:top w:val="single" w:sz="8" w:color="CCEEFF"/>
              <w:bottom w:val="single" w:sz="8" w:color="CCEEFF"/>
            </w:tcBorders>
          </w:tcPr>
          <w:p>
            <w:pPr>
              <w:spacing w:after="0"/>
              <w:rPr>
                <w:sz w:val="19"/>
                <w:szCs w:val="19"/>
                <w:color w:val="auto"/>
              </w:rPr>
            </w:pPr>
          </w:p>
        </w:tc>
        <w:tc>
          <w:tcPr>
            <w:tcW w:w="980" w:type="dxa"/>
            <w:vAlign w:val="bottom"/>
            <w:tcBorders>
              <w:top w:val="single" w:sz="8" w:color="CCEEFF"/>
              <w:bottom w:val="single" w:sz="8" w:color="CCEEFF"/>
            </w:tcBorders>
          </w:tcPr>
          <w:p>
            <w:pPr>
              <w:spacing w:after="0"/>
              <w:rPr>
                <w:sz w:val="19"/>
                <w:szCs w:val="19"/>
                <w:color w:val="auto"/>
              </w:rPr>
            </w:pPr>
          </w:p>
        </w:tc>
        <w:tc>
          <w:tcPr>
            <w:tcW w:w="100" w:type="dxa"/>
            <w:vAlign w:val="bottom"/>
            <w:tcBorders>
              <w:top w:val="single" w:sz="8" w:color="CCEEFF"/>
              <w:bottom w:val="single" w:sz="8" w:color="CCEEFF"/>
            </w:tcBorders>
          </w:tcPr>
          <w:p>
            <w:pPr>
              <w:spacing w:after="0"/>
              <w:rPr>
                <w:sz w:val="19"/>
                <w:szCs w:val="19"/>
                <w:color w:val="auto"/>
              </w:rPr>
            </w:pPr>
          </w:p>
        </w:tc>
        <w:tc>
          <w:tcPr>
            <w:tcW w:w="2100" w:type="dxa"/>
            <w:vAlign w:val="bottom"/>
            <w:tcBorders>
              <w:top w:val="single" w:sz="8" w:color="CCEEFF"/>
              <w:bottom w:val="single" w:sz="8" w:color="CCEEFF"/>
            </w:tcBorders>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Total Offering Amounts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590,000</w:t>
            </w:r>
          </w:p>
        </w:tc>
        <w:tc>
          <w:tcPr>
            <w:tcW w:w="120" w:type="dxa"/>
            <w:vAlign w:val="bottom"/>
            <w:tcBorders>
              <w:top w:val="single" w:sz="8" w:color="CCEEFF"/>
              <w:bottom w:val="single" w:sz="8" w:color="CCEEFF"/>
            </w:tcBorders>
          </w:tcPr>
          <w:p>
            <w:pPr>
              <w:spacing w:after="0"/>
              <w:rPr>
                <w:sz w:val="19"/>
                <w:szCs w:val="19"/>
                <w:color w:val="auto"/>
              </w:rPr>
            </w:pPr>
          </w:p>
        </w:tc>
        <w:tc>
          <w:tcPr>
            <w:tcW w:w="40" w:type="dxa"/>
            <w:vAlign w:val="bottom"/>
            <w:tcBorders>
              <w:top w:val="single" w:sz="8" w:color="CCEEFF"/>
              <w:bottom w:val="single" w:sz="8" w:color="CCEEFF"/>
            </w:tcBorders>
          </w:tcPr>
          <w:p>
            <w:pPr>
              <w:spacing w:after="0"/>
              <w:rPr>
                <w:sz w:val="19"/>
                <w:szCs w:val="19"/>
                <w:color w:val="auto"/>
              </w:rPr>
            </w:pPr>
          </w:p>
        </w:tc>
        <w:tc>
          <w:tcPr>
            <w:tcW w:w="9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CCEEFF"/>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90.33</w:t>
            </w:r>
          </w:p>
        </w:tc>
        <w:tc>
          <w:tcPr>
            <w:tcW w:w="60" w:type="dxa"/>
            <w:vAlign w:val="bottom"/>
            <w:tcBorders>
              <w:top w:val="single" w:sz="8" w:color="CCEEFF"/>
              <w:bottom w:val="single" w:sz="8" w:color="CCEEFF"/>
            </w:tcBorders>
          </w:tcPr>
          <w:p>
            <w:pPr>
              <w:spacing w:after="0"/>
              <w:rPr>
                <w:sz w:val="19"/>
                <w:szCs w:val="19"/>
                <w:color w:val="auto"/>
              </w:rPr>
            </w:pPr>
          </w:p>
        </w:tc>
      </w:tr>
      <w:tr>
        <w:trPr>
          <w:trHeight w:val="216"/>
        </w:trPr>
        <w:tc>
          <w:tcPr>
            <w:tcW w:w="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37"/>
        </w:trPr>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Total Fee Offsets</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Net Fee Due</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amount of the registration fee in pursuant to Rule 457(o) under the Securities Act of 1933, as amended.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Common Stock granted pursuant to the underwriters’ option to purchase additional shares of Common Stock.</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89" w:lineRule="auto"/>
        <w:tabs>
          <w:tab w:leader="none" w:pos="3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 has agreed to issue, upon the closing of this offering, underwriter warrant to the underwriters, entitling them to purchase a number of shares of common stock equal to 3% of the aggregate shares of common stock sold in this offering (not including any shares sold pursuant to the over-allotment option). The exercise price of the underwriter warrant will be equal to 100% of the public offering price of the common stock offered hereby.</w:t>
      </w:r>
    </w:p>
    <w:p>
      <w:pPr>
        <w:spacing w:after="0" w:line="157" w:lineRule="exact"/>
        <w:rPr>
          <w:rFonts w:ascii="Times New Roman" w:cs="Times New Roman" w:eastAsia="Times New Roman" w:hAnsi="Times New Roman"/>
          <w:sz w:val="17"/>
          <w:szCs w:val="17"/>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 457(g) under the Securities Act, because the shares of Common Stock underlying the Underwriter Warrants are registered hereby, no separate registration fee is required with respect to the Underwriter Warrants registered hereby.</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png"/><Relationship Id="rId20" Type="http://schemas.openxmlformats.org/officeDocument/2006/relationships/image" Target="media/image12.jpe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jpeg"/><Relationship Id="rId13" Type="http://schemas.openxmlformats.org/officeDocument/2006/relationships/hyperlink" Target="http://www.sec.gov/Archives/edgar/data/1903595/000121390025012154/ea0204930-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2025-03-05T19:51:12Z</dcterms:created>
  <dcterms:modified xsi:type="dcterms:W3CDTF">2025-03-05T19:51:12Z</dcterms:modified>
</cp:coreProperties>
</file>